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1"/>
            <w:tabs>
              <w:tab w:val="right" w:leader="dot" w:pos="8306"/>
            </w:tabs>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p>
        <w:p>
          <w:pPr>
            <w:pStyle w:val="11"/>
            <w:tabs>
              <w:tab w:val="right" w:leader="dot" w:pos="8306"/>
            </w:tabs>
            <w:rPr>
              <w:rFonts w:ascii="黑体" w:hAnsi="黑体" w:eastAsia="黑体" w:cs="黑体"/>
              <w:sz w:val="28"/>
              <w:szCs w:val="28"/>
            </w:rPr>
          </w:pPr>
          <w:r>
            <w:fldChar w:fldCharType="begin"/>
          </w:r>
          <w:r>
            <w:instrText xml:space="preserve"> HYPERLINK \l "_Toc9453"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_Toc9453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"_Toc25428"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_Toc25428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"_Toc3497"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_Toc3497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"_Toc19584"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_Toc19584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"_Toc19242"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_Toc19242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"_Toc32652"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_Toc32652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"_Toc27507"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_Toc27507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"_Toc32262"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_Toc32262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"_Toc12071"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_Toc12071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"_Toc24100"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_Toc24100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"_Toc21307"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_Toc21307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"_Toc21051"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_Toc21051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"_Toc31939"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_Toc31939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7</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"_Toc13597"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_Toc13597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8</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"_Toc32158"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_Toc32158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8</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spacing w:line="360" w:lineRule="auto"/>
            <w:jc w:val="center"/>
            <w:rPr>
              <w:rFonts w:ascii="华文中宋" w:hAnsi="华文中宋" w:eastAsia="华文中宋" w:cs="方正小标宋简体"/>
              <w:b/>
              <w:szCs w:val="44"/>
            </w:rPr>
          </w:pPr>
          <w:r>
            <w:rPr>
              <w:rFonts w:hint="eastAsia" w:ascii="黑体" w:hAnsi="黑体" w:eastAsia="黑体" w:cs="黑体"/>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bookmarkStart w:id="2" w:name="_Toc24282"/>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24313"/>
      <w:bookmarkStart w:id="4" w:name="_Toc14085"/>
      <w:bookmarkStart w:id="5" w:name="_Toc15802"/>
      <w:bookmarkStart w:id="6" w:name="_Toc31456"/>
      <w:bookmarkStart w:id="7" w:name="_Toc31605"/>
      <w:bookmarkStart w:id="8" w:name="_Toc23711"/>
      <w:bookmarkStart w:id="9" w:name="_Toc27784"/>
      <w:bookmarkStart w:id="10" w:name="_Toc851"/>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w:t>
      </w:r>
      <w:r>
        <w:rPr>
          <w:rFonts w:hint="eastAsia" w:ascii="仿宋_GB2312" w:eastAsia="仿宋_GB2312" w:cs="仿宋_GB2312"/>
          <w:sz w:val="32"/>
          <w:szCs w:val="32"/>
          <w:lang w:eastAsia="zh-CN"/>
        </w:rPr>
        <w:t>，</w:t>
      </w:r>
      <w:r>
        <w:rPr>
          <w:rFonts w:hint="eastAsia" w:ascii="仿宋_GB2312" w:eastAsia="仿宋_GB2312" w:cs="仿宋_GB2312"/>
          <w:sz w:val="32"/>
          <w:szCs w:val="32"/>
        </w:rPr>
        <w:t>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4"/>
        <w:keepNext w:val="0"/>
        <w:keepLines w:val="0"/>
        <w:spacing w:before="0" w:after="0" w:line="360" w:lineRule="auto"/>
        <w:rPr>
          <w:rFonts w:ascii="黑体" w:hAnsi="黑体" w:eastAsia="黑体" w:cs="黑体"/>
          <w:sz w:val="32"/>
          <w:szCs w:val="32"/>
        </w:rPr>
      </w:pPr>
      <w:bookmarkStart w:id="11" w:name="_Toc13873"/>
      <w:bookmarkStart w:id="12" w:name="_Toc9453"/>
      <w:bookmarkStart w:id="13" w:name="_Toc15017"/>
      <w:r>
        <w:rPr>
          <w:rFonts w:hint="eastAsia" w:ascii="黑体" w:hAnsi="黑体" w:eastAsia="黑体" w:cs="黑体"/>
          <w:sz w:val="32"/>
          <w:szCs w:val="32"/>
        </w:rPr>
        <w:t>一、项目支出基本情况</w:t>
      </w:r>
      <w:bookmarkEnd w:id="11"/>
      <w:bookmarkEnd w:id="12"/>
      <w:bookmarkEnd w:id="13"/>
    </w:p>
    <w:p>
      <w:pPr>
        <w:pStyle w:val="5"/>
        <w:keepNext w:val="0"/>
        <w:keepLines w:val="0"/>
        <w:adjustRightInd/>
        <w:snapToGrid/>
        <w:spacing w:before="0" w:after="0"/>
        <w:rPr>
          <w:rFonts w:ascii="黑体" w:hAnsi="黑体" w:eastAsia="黑体" w:cs="黑体"/>
          <w:sz w:val="30"/>
          <w:szCs w:val="30"/>
        </w:rPr>
      </w:pPr>
      <w:bookmarkStart w:id="14" w:name="_Toc1381"/>
      <w:bookmarkStart w:id="15" w:name="_Toc19332"/>
      <w:bookmarkStart w:id="16" w:name="_Toc25428"/>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市场监管部门培训费，年初预算数为预算为20.00万元，全年财政拨款20.00万元，全年项目实际支出</w:t>
      </w:r>
      <w:r>
        <w:rPr>
          <w:rFonts w:hint="eastAsia" w:ascii="仿宋_GB2312" w:eastAsia="仿宋_GB2312" w:cs="仿宋_GB2312"/>
          <w:sz w:val="32"/>
          <w:szCs w:val="32"/>
          <w:lang w:val="en-US" w:eastAsia="zh-CN"/>
        </w:rPr>
        <w:t>19.27</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96.35</w:t>
      </w:r>
      <w:r>
        <w:rPr>
          <w:rFonts w:hint="eastAsia" w:ascii="仿宋_GB2312" w:eastAsia="仿宋_GB2312" w:cs="仿宋_GB2312"/>
          <w:sz w:val="32"/>
          <w:szCs w:val="32"/>
        </w:rPr>
        <w:t>%。</w:t>
      </w:r>
    </w:p>
    <w:p>
      <w:pPr>
        <w:pStyle w:val="5"/>
        <w:keepNext w:val="0"/>
        <w:keepLines w:val="0"/>
        <w:adjustRightInd/>
        <w:snapToGrid/>
        <w:spacing w:before="0" w:after="0"/>
        <w:rPr>
          <w:rFonts w:ascii="黑体" w:hAnsi="黑体" w:eastAsia="黑体" w:cs="黑体"/>
          <w:sz w:val="30"/>
          <w:szCs w:val="30"/>
        </w:rPr>
      </w:pPr>
      <w:bookmarkStart w:id="17" w:name="_Toc3497"/>
      <w:bookmarkStart w:id="18" w:name="_Toc839"/>
      <w:bookmarkStart w:id="19" w:name="_Toc843"/>
      <w:r>
        <w:rPr>
          <w:rFonts w:hint="eastAsia" w:ascii="黑体" w:hAnsi="黑体" w:eastAsia="黑体" w:cs="黑体"/>
          <w:sz w:val="30"/>
          <w:szCs w:val="30"/>
        </w:rPr>
        <w:t>（二）项目内容</w:t>
      </w:r>
      <w:bookmarkEnd w:id="17"/>
      <w:bookmarkEnd w:id="18"/>
      <w:bookmarkEnd w:id="19"/>
    </w:p>
    <w:p>
      <w:pPr>
        <w:adjustRightInd w:val="0"/>
        <w:snapToGrid w:val="0"/>
        <w:spacing w:line="720" w:lineRule="exact"/>
        <w:ind w:firstLine="640" w:firstLineChars="200"/>
        <w:rPr>
          <w:rFonts w:ascii="仿宋_GB2312" w:eastAsia="仿宋_GB2312" w:cs="仿宋_GB2312"/>
          <w:sz w:val="32"/>
          <w:szCs w:val="32"/>
        </w:rPr>
      </w:pPr>
      <w:bookmarkStart w:id="20" w:name="_Toc23203"/>
      <w:bookmarkStart w:id="21" w:name="_Toc18257"/>
      <w:r>
        <w:rPr>
          <w:rFonts w:hint="eastAsia" w:ascii="仿宋_GB2312" w:eastAsia="仿宋_GB2312" w:cs="仿宋_GB2312"/>
          <w:sz w:val="32"/>
          <w:szCs w:val="32"/>
        </w:rPr>
        <w:t>人才队伍是市场监管的第一资源和根本保障。要继续做好机构改革的“后半篇”文章，加快引进专业技术人才，扩大技术优势，推进机构职能优化、业务深度整合、干部队伍融合。</w:t>
      </w:r>
      <w:r>
        <w:rPr>
          <w:rFonts w:hint="eastAsia" w:ascii="仿宋_GB2312" w:eastAsia="仿宋_GB2312" w:cs="仿宋_GB2312"/>
          <w:color w:val="000000" w:themeColor="text1"/>
          <w:sz w:val="32"/>
          <w:szCs w:val="32"/>
          <w:lang w:val="en-US" w:eastAsia="zh-CN"/>
          <w14:textFill>
            <w14:solidFill>
              <w14:schemeClr w14:val="tx1"/>
            </w14:solidFill>
          </w14:textFill>
        </w:rPr>
        <w:t>我单位通过</w:t>
      </w:r>
      <w:r>
        <w:rPr>
          <w:rFonts w:hint="eastAsia" w:ascii="仿宋_GB2312" w:eastAsia="仿宋_GB2312" w:cs="仿宋_GB2312"/>
          <w:color w:val="000000" w:themeColor="text1"/>
          <w:sz w:val="32"/>
          <w:szCs w:val="32"/>
          <w14:textFill>
            <w14:solidFill>
              <w14:schemeClr w14:val="tx1"/>
            </w14:solidFill>
          </w14:textFill>
        </w:rPr>
        <w:t>加大业务培训力度，</w:t>
      </w:r>
      <w:r>
        <w:rPr>
          <w:rFonts w:hint="eastAsia" w:ascii="仿宋_GB2312" w:eastAsia="仿宋_GB2312" w:cs="仿宋_GB2312"/>
          <w:sz w:val="32"/>
          <w:szCs w:val="32"/>
        </w:rPr>
        <w:t>充分运用市场监管大讲堂、总局网络学院等载体，创新教育培训方式，拓宽干部工作视野，强化正向激励，大胆用好素质高、敢担当、想干事、能干事的干部，把监管一线作为锻炼年轻干部的主阵地，逐步解决基层队伍老化、活力不强问题，打造一支忠诚、干净、担当的综合行政执法队伍。</w:t>
      </w:r>
    </w:p>
    <w:p>
      <w:pPr>
        <w:adjustRightInd w:val="0"/>
        <w:snapToGrid w:val="0"/>
        <w:spacing w:line="72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今年以来，</w:t>
      </w:r>
      <w:r>
        <w:rPr>
          <w:rFonts w:hint="eastAsia" w:ascii="仿宋_GB2312" w:hAnsi="仿宋_GB2312" w:eastAsia="仿宋_GB2312" w:cs="仿宋_GB2312"/>
          <w:color w:val="000000" w:themeColor="text1"/>
          <w:sz w:val="32"/>
          <w:szCs w:val="32"/>
          <w14:textFill>
            <w14:solidFill>
              <w14:schemeClr w14:val="tx1"/>
            </w14:solidFill>
          </w14:textFill>
        </w:rPr>
        <w:t>加大干部教育培训力度，提前报送干部教育培训计划，我局食品安全综合治理培训班</w:t>
      </w:r>
      <w:r>
        <w:rPr>
          <w:rFonts w:hint="eastAsia" w:ascii="仿宋_GB2312" w:hAnsi="仿宋_GB2312" w:eastAsia="仿宋_GB2312" w:cs="仿宋_GB2312"/>
          <w:color w:val="000000" w:themeColor="text1"/>
          <w:sz w:val="32"/>
          <w:szCs w:val="32"/>
          <w:lang w:eastAsia="zh-CN"/>
          <w14:textFill>
            <w14:solidFill>
              <w14:schemeClr w14:val="tx1"/>
            </w14:solidFill>
          </w14:textFill>
        </w:rPr>
        <w:t>完成培训</w:t>
      </w:r>
      <w:r>
        <w:rPr>
          <w:rFonts w:hint="eastAsia" w:ascii="仿宋_GB2312" w:hAnsi="仿宋_GB2312" w:eastAsia="仿宋_GB2312" w:cs="仿宋_GB2312"/>
          <w:color w:val="000000" w:themeColor="text1"/>
          <w:sz w:val="32"/>
          <w:szCs w:val="32"/>
          <w14:textFill>
            <w14:solidFill>
              <w14:schemeClr w14:val="tx1"/>
            </w14:solidFill>
          </w14:textFill>
        </w:rPr>
        <w:t>。河南干部网络学院线上培训我局同比增长40%</w:t>
      </w:r>
      <w:r>
        <w:rPr>
          <w:rFonts w:hint="eastAsia" w:ascii="仿宋_GB2312" w:hAnsi="仿宋_GB2312" w:eastAsia="仿宋_GB2312" w:cs="仿宋_GB2312"/>
          <w:color w:val="000000" w:themeColor="text1"/>
          <w:sz w:val="32"/>
          <w:szCs w:val="32"/>
          <w:lang w:eastAsia="zh-CN"/>
          <w14:textFill>
            <w14:solidFill>
              <w14:schemeClr w14:val="tx1"/>
            </w14:solidFill>
          </w14:textFill>
        </w:rPr>
        <w:t>。今后我单位将继续加强培训，</w:t>
      </w:r>
      <w:r>
        <w:rPr>
          <w:rFonts w:hint="eastAsia" w:ascii="仿宋_GB2312" w:eastAsia="仿宋_GB2312" w:cs="仿宋_GB2312"/>
          <w:sz w:val="32"/>
          <w:szCs w:val="32"/>
        </w:rPr>
        <w:t>规范执法行为，细化工作流程，统一工作标准，提高依法行政能力，加快业务工作融合贯通，不断提升监管能力和执法水平。</w:t>
      </w:r>
      <w:bookmarkStart w:id="75" w:name="_GoBack"/>
      <w:bookmarkEnd w:id="75"/>
    </w:p>
    <w:p>
      <w:pPr>
        <w:pStyle w:val="5"/>
        <w:keepNext w:val="0"/>
        <w:keepLines w:val="0"/>
        <w:adjustRightInd/>
        <w:snapToGrid/>
        <w:spacing w:before="0" w:after="0"/>
        <w:rPr>
          <w:rFonts w:ascii="黑体" w:hAnsi="黑体" w:eastAsia="黑体" w:cs="黑体"/>
          <w:sz w:val="30"/>
          <w:szCs w:val="30"/>
        </w:rPr>
      </w:pPr>
      <w:bookmarkStart w:id="22" w:name="_Toc19584"/>
      <w:r>
        <w:rPr>
          <w:rFonts w:hint="eastAsia" w:ascii="黑体" w:hAnsi="黑体" w:eastAsia="黑体" w:cs="黑体"/>
          <w:sz w:val="30"/>
          <w:szCs w:val="30"/>
        </w:rPr>
        <w:t>（三）绩效目标批复情况</w:t>
      </w:r>
      <w:bookmarkEnd w:id="20"/>
      <w:bookmarkEnd w:id="21"/>
      <w:bookmarkEnd w:id="2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我部门年度预算后，将绩效目标随部门预算批复我部门；我部门将批复的绩效目标按预算管理级次细化批复到项目科室，并提出绩效管理具体工作要求。</w:t>
      </w:r>
    </w:p>
    <w:p>
      <w:pPr>
        <w:pStyle w:val="4"/>
        <w:keepNext w:val="0"/>
        <w:keepLines w:val="0"/>
        <w:spacing w:before="0" w:after="0" w:line="360" w:lineRule="auto"/>
        <w:rPr>
          <w:rFonts w:ascii="黑体" w:hAnsi="黑体" w:eastAsia="黑体" w:cs="黑体"/>
          <w:sz w:val="32"/>
          <w:szCs w:val="32"/>
        </w:rPr>
      </w:pPr>
      <w:bookmarkStart w:id="23" w:name="_Toc26306"/>
      <w:bookmarkStart w:id="24" w:name="_Toc31315"/>
      <w:bookmarkStart w:id="25" w:name="_Toc19242"/>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5"/>
        <w:keepNext w:val="0"/>
        <w:keepLines w:val="0"/>
        <w:adjustRightInd/>
        <w:snapToGrid/>
        <w:spacing w:before="0" w:after="0"/>
        <w:rPr>
          <w:rFonts w:ascii="黑体" w:hAnsi="黑体" w:eastAsia="黑体" w:cs="黑体"/>
          <w:sz w:val="30"/>
          <w:szCs w:val="30"/>
        </w:rPr>
      </w:pPr>
      <w:bookmarkStart w:id="26" w:name="_Toc12595"/>
      <w:bookmarkStart w:id="27" w:name="_Toc31583"/>
      <w:bookmarkStart w:id="28" w:name="_Toc25866"/>
      <w:bookmarkStart w:id="29" w:name="_Toc32652"/>
      <w:bookmarkStart w:id="30" w:name="_Toc8544"/>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keepNext w:val="0"/>
        <w:keepLines w:val="0"/>
        <w:adjustRightInd/>
        <w:snapToGrid/>
        <w:spacing w:before="0" w:after="0"/>
        <w:rPr>
          <w:rFonts w:ascii="黑体" w:hAnsi="黑体" w:eastAsia="黑体" w:cs="黑体"/>
          <w:sz w:val="30"/>
          <w:szCs w:val="30"/>
        </w:rPr>
      </w:pPr>
      <w:bookmarkStart w:id="31" w:name="_Toc21569"/>
      <w:bookmarkStart w:id="32" w:name="_Toc26818"/>
      <w:bookmarkStart w:id="33" w:name="_Toc9139"/>
      <w:bookmarkStart w:id="34" w:name="_Toc4202"/>
      <w:bookmarkStart w:id="35" w:name="_Toc27507"/>
      <w:r>
        <w:rPr>
          <w:rFonts w:hint="eastAsia" w:ascii="黑体" w:hAnsi="黑体" w:eastAsia="黑体" w:cs="黑体"/>
          <w:sz w:val="30"/>
          <w:szCs w:val="30"/>
        </w:rPr>
        <w:t>（二）绩效自评对象和范围</w:t>
      </w:r>
      <w:bookmarkEnd w:id="31"/>
      <w:bookmarkEnd w:id="32"/>
      <w:bookmarkEnd w:id="33"/>
      <w:bookmarkEnd w:id="34"/>
      <w:bookmarkEnd w:id="3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本次绩效自评对象为三门峡市市场监督管理局，202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年实施市场监管部门培训费的费用支出，涉及资金20.00</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，评价范围为涉及该项目管理及其预算资金使用绩效的相关情况。</w:t>
      </w:r>
    </w:p>
    <w:p>
      <w:pPr>
        <w:pStyle w:val="5"/>
        <w:keepNext w:val="0"/>
        <w:keepLines w:val="0"/>
        <w:adjustRightInd/>
        <w:snapToGrid/>
        <w:spacing w:before="0" w:after="0"/>
        <w:rPr>
          <w:rFonts w:ascii="黑体" w:hAnsi="黑体" w:eastAsia="黑体" w:cs="黑体"/>
          <w:sz w:val="30"/>
          <w:szCs w:val="30"/>
        </w:rPr>
      </w:pPr>
      <w:bookmarkStart w:id="36" w:name="_Toc23494"/>
      <w:bookmarkStart w:id="37" w:name="_Toc21596"/>
      <w:bookmarkStart w:id="38" w:name="_Toc32262"/>
      <w:bookmarkStart w:id="39" w:name="_Toc17710"/>
      <w:bookmarkStart w:id="40" w:name="_Toc31552"/>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15060"/>
      <w:bookmarkStart w:id="42" w:name="_Toc2346"/>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5"/>
        <w:keepNext w:val="0"/>
        <w:keepLines w:val="0"/>
        <w:adjustRightInd/>
        <w:snapToGrid/>
        <w:spacing w:before="0" w:after="0"/>
        <w:rPr>
          <w:rFonts w:ascii="黑体" w:hAnsi="黑体" w:eastAsia="黑体" w:cs="黑体"/>
          <w:sz w:val="30"/>
          <w:szCs w:val="30"/>
        </w:rPr>
      </w:pPr>
      <w:bookmarkStart w:id="43" w:name="_Toc12071"/>
      <w:bookmarkStart w:id="44" w:name="_Toc18992"/>
      <w:bookmarkStart w:id="45" w:name="_Toc1796"/>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5"/>
        <w:keepNext w:val="0"/>
        <w:keepLines w:val="0"/>
        <w:adjustRightInd/>
        <w:snapToGrid/>
        <w:spacing w:before="0" w:after="0"/>
        <w:rPr>
          <w:rFonts w:ascii="黑体" w:hAnsi="黑体" w:eastAsia="黑体" w:cs="黑体"/>
          <w:sz w:val="30"/>
          <w:szCs w:val="30"/>
        </w:rPr>
      </w:pPr>
      <w:bookmarkStart w:id="46" w:name="_Toc7828"/>
      <w:bookmarkStart w:id="47" w:name="_Toc24100"/>
      <w:bookmarkStart w:id="48" w:name="_Toc10949"/>
      <w:bookmarkStart w:id="49" w:name="_Toc15508"/>
      <w:bookmarkStart w:id="50" w:name="_Toc18185"/>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eastAsia="zh-CN"/>
        </w:rPr>
        <w:t>各相关业务科室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4"/>
        <w:keepNext w:val="0"/>
        <w:keepLines w:val="0"/>
        <w:spacing w:before="0" w:after="0" w:line="360" w:lineRule="auto"/>
        <w:rPr>
          <w:rFonts w:ascii="黑体" w:hAnsi="黑体" w:eastAsia="黑体" w:cs="黑体"/>
          <w:sz w:val="32"/>
          <w:szCs w:val="32"/>
          <w:lang w:val="zh-CN"/>
        </w:rPr>
      </w:pPr>
      <w:bookmarkStart w:id="51" w:name="_Toc5171"/>
      <w:bookmarkStart w:id="52" w:name="_Toc21307"/>
      <w:bookmarkStart w:id="53" w:name="_Toc12278"/>
      <w:bookmarkStart w:id="54" w:name="_Toc16"/>
      <w:bookmarkStart w:id="55" w:name="_Toc17646"/>
      <w:r>
        <w:rPr>
          <w:rFonts w:hint="eastAsia" w:ascii="黑体" w:hAnsi="黑体" w:eastAsia="黑体" w:cs="黑体"/>
          <w:sz w:val="32"/>
          <w:szCs w:val="32"/>
        </w:rPr>
        <w:t>三、</w:t>
      </w:r>
      <w:r>
        <w:rPr>
          <w:rFonts w:ascii="黑体" w:hAnsi="黑体" w:eastAsia="黑体" w:cs="黑体"/>
          <w:sz w:val="32"/>
          <w:szCs w:val="32"/>
          <w:lang w:val="zh-CN"/>
        </w:rPr>
        <w:t>单位自评结果及分析</w:t>
      </w:r>
      <w:bookmarkEnd w:id="51"/>
      <w:bookmarkEnd w:id="52"/>
      <w:bookmarkEnd w:id="53"/>
      <w:bookmarkEnd w:id="54"/>
      <w:bookmarkEnd w:id="55"/>
    </w:p>
    <w:p>
      <w:pPr>
        <w:pStyle w:val="5"/>
        <w:keepNext w:val="0"/>
        <w:keepLines w:val="0"/>
        <w:adjustRightInd/>
        <w:snapToGrid/>
        <w:spacing w:before="0" w:after="0"/>
        <w:rPr>
          <w:rFonts w:ascii="黑体" w:hAnsi="黑体" w:eastAsia="黑体" w:cs="黑体"/>
          <w:sz w:val="30"/>
          <w:szCs w:val="30"/>
          <w:lang w:val="zh-CN"/>
        </w:rPr>
      </w:pPr>
      <w:bookmarkStart w:id="56" w:name="_Toc21051"/>
      <w:bookmarkStart w:id="57" w:name="_Toc8066"/>
      <w:bookmarkStart w:id="58" w:name="_Toc32649"/>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我单位通过对本项目调查研究、座谈、查阅相关资料，根据相关政策要求进行打分，最终项目自评价得分为</w:t>
      </w:r>
      <w:r>
        <w:rPr>
          <w:rFonts w:hint="eastAsia" w:ascii="仿宋_GB2312" w:hAnsi="仿宋_GB2312" w:eastAsia="仿宋_GB2312" w:cs="仿宋_GB2312"/>
          <w:b/>
          <w:bCs/>
          <w:sz w:val="32"/>
          <w:szCs w:val="32"/>
        </w:rPr>
        <w:t>93</w:t>
      </w:r>
      <w:r>
        <w:rPr>
          <w:rFonts w:hint="eastAsia" w:ascii="仿宋_GB2312" w:hAnsi="仿宋_GB2312" w:eastAsia="仿宋_GB2312" w:cs="仿宋_GB2312"/>
          <w:sz w:val="32"/>
          <w:szCs w:val="32"/>
          <w:lang w:val="zh-CN"/>
        </w:rPr>
        <w:t>分，评价结果为优。</w:t>
      </w:r>
    </w:p>
    <w:p>
      <w:pPr>
        <w:pStyle w:val="4"/>
        <w:keepNext w:val="0"/>
        <w:keepLines w:val="0"/>
        <w:numPr>
          <w:ilvl w:val="0"/>
          <w:numId w:val="1"/>
        </w:numPr>
        <w:spacing w:before="0" w:after="0" w:line="360" w:lineRule="auto"/>
        <w:rPr>
          <w:rFonts w:ascii="黑体" w:hAnsi="黑体" w:eastAsia="黑体" w:cs="黑体"/>
          <w:sz w:val="32"/>
          <w:szCs w:val="32"/>
          <w:lang w:val="zh-CN"/>
        </w:rPr>
      </w:pPr>
      <w:bookmarkStart w:id="59" w:name="_Toc11209"/>
      <w:bookmarkStart w:id="60" w:name="_Toc31939"/>
      <w:bookmarkStart w:id="61" w:name="_Toc29526"/>
      <w:r>
        <w:rPr>
          <w:rFonts w:ascii="黑体" w:hAnsi="黑体" w:eastAsia="黑体" w:cs="黑体"/>
          <w:sz w:val="32"/>
          <w:szCs w:val="32"/>
          <w:lang w:val="zh-CN"/>
        </w:rPr>
        <w:t>自评发现的问题及整改措施</w:t>
      </w:r>
      <w:bookmarkEnd w:id="59"/>
      <w:bookmarkEnd w:id="60"/>
      <w:bookmarkEnd w:id="61"/>
      <w:bookmarkStart w:id="62" w:name="_Toc9511"/>
      <w:bookmarkStart w:id="63" w:name="_Toc17190"/>
    </w:p>
    <w:bookmarkEnd w:id="62"/>
    <w:bookmarkEnd w:id="63"/>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lang w:val="zh-CN"/>
        </w:rPr>
        <w:t>发现的问题</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专项资金使用需进一步优化完善；绩效评价资料收集不够全面，主要是社会效益方面的资料不够全面，尽管诸多工作引起了不同范围内的社会关注和好评，但由于不注重收集或收集不及时，致使在评价过程中缺乏有说服力的证据。</w:t>
      </w:r>
    </w:p>
    <w:p>
      <w:pPr>
        <w:ind w:firstLine="640" w:firstLineChars="200"/>
        <w:rPr>
          <w:rFonts w:ascii="黑体" w:hAnsi="黑体" w:eastAsia="仿宋_GB2312" w:cs="黑体"/>
          <w:bCs/>
          <w:color w:val="000000"/>
          <w:sz w:val="30"/>
          <w:szCs w:val="30"/>
        </w:rPr>
      </w:pPr>
      <w:r>
        <w:rPr>
          <w:rFonts w:hint="eastAsia" w:ascii="仿宋_GB2312" w:hAnsi="仿宋_GB2312" w:eastAsia="仿宋_GB2312" w:cs="仿宋_GB2312"/>
          <w:sz w:val="32"/>
          <w:szCs w:val="32"/>
        </w:rPr>
        <w:t>整改措施：</w:t>
      </w:r>
      <w:r>
        <w:rPr>
          <w:rFonts w:ascii="仿宋_GB2312" w:hAnsi="仿宋_GB2312" w:eastAsia="仿宋_GB2312" w:cs="仿宋_GB2312"/>
          <w:sz w:val="32"/>
          <w:szCs w:val="32"/>
          <w:lang w:val="zh-CN"/>
        </w:rPr>
        <w:t>科学制定绩效目标，参照历史数据、行业标准、计划标准等数据资料，设置指向明确、细化量化、合理可行、相应匹配的绩效目标，</w:t>
      </w:r>
      <w:r>
        <w:rPr>
          <w:rFonts w:hint="eastAsia" w:ascii="仿宋_GB2312" w:hAnsi="仿宋_GB2312" w:eastAsia="仿宋_GB2312" w:cs="仿宋_GB2312"/>
          <w:sz w:val="32"/>
          <w:szCs w:val="32"/>
        </w:rPr>
        <w:t>加强执行过程中的材料留存，</w:t>
      </w:r>
    </w:p>
    <w:p>
      <w:pPr>
        <w:spacing w:line="360" w:lineRule="auto"/>
        <w:rPr>
          <w:rFonts w:ascii="仿宋_GB2312" w:hAnsi="仿宋_GB2312" w:eastAsia="仿宋_GB2312" w:cs="仿宋_GB2312"/>
          <w:sz w:val="32"/>
          <w:szCs w:val="32"/>
        </w:rPr>
      </w:pPr>
      <w:r>
        <w:rPr>
          <w:rFonts w:ascii="仿宋_GB2312" w:hAnsi="仿宋_GB2312" w:eastAsia="仿宋_GB2312" w:cs="仿宋_GB2312"/>
          <w:sz w:val="32"/>
          <w:szCs w:val="32"/>
          <w:lang w:val="zh-CN"/>
        </w:rPr>
        <w:t>为后期开展绩效监控和评价提供基础支撑</w:t>
      </w:r>
      <w:r>
        <w:rPr>
          <w:rFonts w:hint="eastAsia" w:ascii="仿宋_GB2312" w:hAnsi="仿宋_GB2312" w:eastAsia="仿宋_GB2312" w:cs="仿宋_GB2312"/>
          <w:sz w:val="32"/>
          <w:szCs w:val="32"/>
          <w:lang w:val="zh-CN"/>
        </w:rPr>
        <w:t>。</w:t>
      </w:r>
    </w:p>
    <w:p>
      <w:pPr>
        <w:pStyle w:val="4"/>
        <w:keepNext w:val="0"/>
        <w:keepLines w:val="0"/>
        <w:numPr>
          <w:ilvl w:val="0"/>
          <w:numId w:val="1"/>
        </w:numPr>
        <w:spacing w:before="0" w:after="0" w:line="360" w:lineRule="auto"/>
        <w:rPr>
          <w:rFonts w:ascii="黑体" w:hAnsi="黑体" w:eastAsia="黑体" w:cs="黑体"/>
          <w:sz w:val="32"/>
          <w:szCs w:val="32"/>
          <w:lang w:val="zh-CN"/>
        </w:rPr>
      </w:pPr>
      <w:bookmarkStart w:id="64" w:name="_Toc19784"/>
      <w:bookmarkStart w:id="65" w:name="_Toc13597"/>
      <w:bookmarkStart w:id="66" w:name="_Toc31923"/>
      <w:r>
        <w:rPr>
          <w:rFonts w:ascii="黑体" w:hAnsi="黑体" w:eastAsia="黑体" w:cs="黑体"/>
          <w:sz w:val="32"/>
          <w:szCs w:val="32"/>
          <w:lang w:val="zh-CN"/>
        </w:rPr>
        <w:t>绩效自评工作建议及预算安排建议</w:t>
      </w:r>
      <w:bookmarkEnd w:id="64"/>
      <w:bookmarkEnd w:id="65"/>
      <w:bookmarkEnd w:id="66"/>
    </w:p>
    <w:p>
      <w:pPr>
        <w:pStyle w:val="2"/>
        <w:ind w:firstLine="640" w:firstLineChars="200"/>
        <w:jc w:val="left"/>
        <w:rPr>
          <w:lang w:val="zh-CN"/>
        </w:rPr>
      </w:pPr>
      <w:bookmarkStart w:id="67" w:name="_Toc6756"/>
      <w:bookmarkStart w:id="68" w:name="_Toc4014"/>
      <w:r>
        <w:rPr>
          <w:rFonts w:hint="eastAsia" w:ascii="仿宋_GB2312" w:hAnsi="仿宋_GB2312" w:eastAsia="仿宋_GB2312" w:cs="仿宋_GB2312"/>
          <w:sz w:val="32"/>
          <w:szCs w:val="32"/>
        </w:rPr>
        <w:t>希望财政部门能组织开展预算绩效管理讲解，深入了解绩效上报工作的意义以及方式方法，更合理的安排资金用途。要采取召开会议、专题培训、分类指导等多种形式，让预算单位领导和工作人员了解政策、开展工作。另一方面，“做什么的工作，就应该且只能拿什么钱，必须交出什么的成果”，这样的理念应贯穿机构运转的始终。</w:t>
      </w:r>
    </w:p>
    <w:p>
      <w:pPr>
        <w:pStyle w:val="4"/>
        <w:keepNext w:val="0"/>
        <w:keepLines w:val="0"/>
        <w:numPr>
          <w:ilvl w:val="0"/>
          <w:numId w:val="2"/>
        </w:numPr>
        <w:spacing w:before="0" w:after="0" w:line="360" w:lineRule="auto"/>
        <w:rPr>
          <w:rFonts w:ascii="黑体" w:hAnsi="黑体" w:eastAsia="黑体" w:cs="黑体"/>
          <w:sz w:val="32"/>
          <w:szCs w:val="32"/>
          <w:lang w:val="zh-CN"/>
        </w:rPr>
      </w:pPr>
      <w:bookmarkStart w:id="69" w:name="_Toc32158"/>
      <w:r>
        <w:rPr>
          <w:rFonts w:ascii="黑体" w:hAnsi="黑体" w:eastAsia="黑体" w:cs="黑体"/>
          <w:sz w:val="32"/>
          <w:szCs w:val="32"/>
          <w:lang w:val="zh-CN"/>
        </w:rPr>
        <w:t>其他需要说明的问题</w:t>
      </w:r>
      <w:bookmarkEnd w:id="67"/>
      <w:bookmarkEnd w:id="68"/>
      <w:bookmarkEnd w:id="69"/>
    </w:p>
    <w:p>
      <w:pPr>
        <w:pStyle w:val="2"/>
        <w:ind w:firstLine="640" w:firstLineChars="200"/>
        <w:jc w:val="left"/>
        <w:rPr>
          <w:rFonts w:ascii="仿宋_GB2312" w:hAnsi="仿宋_GB2312" w:eastAsia="仿宋_GB2312" w:cs="仿宋_GB2312"/>
          <w:sz w:val="32"/>
          <w:szCs w:val="32"/>
        </w:rPr>
      </w:pPr>
      <w:bookmarkStart w:id="70" w:name="_Toc10246"/>
      <w:bookmarkStart w:id="71" w:name="_Toc32568"/>
      <w:bookmarkStart w:id="72" w:name="_Toc14623"/>
      <w:r>
        <w:rPr>
          <w:rFonts w:hint="eastAsia" w:ascii="仿宋_GB2312" w:hAnsi="仿宋_GB2312" w:eastAsia="仿宋_GB2312" w:cs="仿宋_GB2312"/>
          <w:sz w:val="32"/>
          <w:szCs w:val="32"/>
        </w:rPr>
        <w:t>需要说明的是：受多种因素影响，部分指标值难以考察取证</w:t>
      </w:r>
      <w:bookmarkEnd w:id="70"/>
      <w:bookmarkStart w:id="73" w:name="_Toc12241"/>
      <w:bookmarkStart w:id="74" w:name="_Toc7176"/>
      <w:r>
        <w:rPr>
          <w:rFonts w:hint="eastAsia" w:ascii="仿宋_GB2312" w:hAnsi="仿宋_GB2312" w:eastAsia="仿宋_GB2312" w:cs="仿宋_GB2312"/>
          <w:sz w:val="32"/>
          <w:szCs w:val="32"/>
        </w:rPr>
        <w:t>。</w:t>
      </w:r>
      <w:bookmarkEnd w:id="71"/>
      <w:bookmarkEnd w:id="72"/>
    </w:p>
    <w:bookmarkEnd w:id="73"/>
    <w:bookmarkEnd w:id="74"/>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mYTUyY2Y1MDJiZjIyYjdiMjQzMDFmYzRiYmU4MWIifQ=="/>
  </w:docVars>
  <w:rsids>
    <w:rsidRoot w:val="00172A27"/>
    <w:rsid w:val="00172A27"/>
    <w:rsid w:val="0055721E"/>
    <w:rsid w:val="006225BA"/>
    <w:rsid w:val="007A67AF"/>
    <w:rsid w:val="00A72A49"/>
    <w:rsid w:val="00AE4B18"/>
    <w:rsid w:val="00D403CC"/>
    <w:rsid w:val="00D412CD"/>
    <w:rsid w:val="01CD24AB"/>
    <w:rsid w:val="01D11DD0"/>
    <w:rsid w:val="03687896"/>
    <w:rsid w:val="03A74472"/>
    <w:rsid w:val="03CF39B3"/>
    <w:rsid w:val="03E3527A"/>
    <w:rsid w:val="03FB180A"/>
    <w:rsid w:val="04616863"/>
    <w:rsid w:val="0475434D"/>
    <w:rsid w:val="04E85A96"/>
    <w:rsid w:val="05310285"/>
    <w:rsid w:val="05B92212"/>
    <w:rsid w:val="05E94B02"/>
    <w:rsid w:val="06022C39"/>
    <w:rsid w:val="06241739"/>
    <w:rsid w:val="06403200"/>
    <w:rsid w:val="067D4911"/>
    <w:rsid w:val="06CD2CAD"/>
    <w:rsid w:val="06D44DB6"/>
    <w:rsid w:val="073C001E"/>
    <w:rsid w:val="076D7ABD"/>
    <w:rsid w:val="07EC720E"/>
    <w:rsid w:val="09517008"/>
    <w:rsid w:val="09520821"/>
    <w:rsid w:val="09F2419C"/>
    <w:rsid w:val="0AD83E24"/>
    <w:rsid w:val="0B0A783A"/>
    <w:rsid w:val="0B714783"/>
    <w:rsid w:val="0B7C1DF1"/>
    <w:rsid w:val="0BA212E3"/>
    <w:rsid w:val="0BDB688F"/>
    <w:rsid w:val="0C1D2D9B"/>
    <w:rsid w:val="0C2B3B54"/>
    <w:rsid w:val="0D5B101A"/>
    <w:rsid w:val="0DAC117D"/>
    <w:rsid w:val="0DC63D28"/>
    <w:rsid w:val="0E00771B"/>
    <w:rsid w:val="0E243570"/>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5B3210"/>
    <w:rsid w:val="15C00483"/>
    <w:rsid w:val="15C71E5A"/>
    <w:rsid w:val="15EB0E81"/>
    <w:rsid w:val="15F135FB"/>
    <w:rsid w:val="16204C19"/>
    <w:rsid w:val="163E7AC0"/>
    <w:rsid w:val="16A86570"/>
    <w:rsid w:val="16AE72D0"/>
    <w:rsid w:val="178B4BED"/>
    <w:rsid w:val="17A009E3"/>
    <w:rsid w:val="18074165"/>
    <w:rsid w:val="18180FA8"/>
    <w:rsid w:val="18570359"/>
    <w:rsid w:val="186944EF"/>
    <w:rsid w:val="19357C12"/>
    <w:rsid w:val="196138D2"/>
    <w:rsid w:val="19953697"/>
    <w:rsid w:val="19BA43E3"/>
    <w:rsid w:val="1A4450BF"/>
    <w:rsid w:val="1AC12C79"/>
    <w:rsid w:val="1AF11A8C"/>
    <w:rsid w:val="1B7911A5"/>
    <w:rsid w:val="1B8B0E1E"/>
    <w:rsid w:val="1BFD0F60"/>
    <w:rsid w:val="1C29383C"/>
    <w:rsid w:val="1C48271E"/>
    <w:rsid w:val="1D47313A"/>
    <w:rsid w:val="1D676463"/>
    <w:rsid w:val="1DC41A36"/>
    <w:rsid w:val="1DFC4D2D"/>
    <w:rsid w:val="1E216956"/>
    <w:rsid w:val="1E7C7AF5"/>
    <w:rsid w:val="1EA51E7C"/>
    <w:rsid w:val="1EC01BD4"/>
    <w:rsid w:val="1F3A1FDC"/>
    <w:rsid w:val="1F6E60BF"/>
    <w:rsid w:val="1FA65F70"/>
    <w:rsid w:val="1FFB2D1C"/>
    <w:rsid w:val="205A2D1D"/>
    <w:rsid w:val="20E32BEF"/>
    <w:rsid w:val="20F76CD3"/>
    <w:rsid w:val="212C46B1"/>
    <w:rsid w:val="21ED3453"/>
    <w:rsid w:val="21EE6A3C"/>
    <w:rsid w:val="22715B15"/>
    <w:rsid w:val="23AC70BE"/>
    <w:rsid w:val="24033141"/>
    <w:rsid w:val="25795502"/>
    <w:rsid w:val="25AB5C72"/>
    <w:rsid w:val="266D3B8D"/>
    <w:rsid w:val="2673135B"/>
    <w:rsid w:val="274970C1"/>
    <w:rsid w:val="27517CC5"/>
    <w:rsid w:val="288C42DB"/>
    <w:rsid w:val="2B147896"/>
    <w:rsid w:val="2B25139B"/>
    <w:rsid w:val="2B424556"/>
    <w:rsid w:val="2B5D5922"/>
    <w:rsid w:val="2BBE401D"/>
    <w:rsid w:val="2C6A7B76"/>
    <w:rsid w:val="2CC11655"/>
    <w:rsid w:val="2CF66F3B"/>
    <w:rsid w:val="2D96497A"/>
    <w:rsid w:val="2DFC3ABA"/>
    <w:rsid w:val="2E3B1D53"/>
    <w:rsid w:val="2E874CFC"/>
    <w:rsid w:val="2ED70AD7"/>
    <w:rsid w:val="2F4D5996"/>
    <w:rsid w:val="2F7A178E"/>
    <w:rsid w:val="2FDE5397"/>
    <w:rsid w:val="2FE87747"/>
    <w:rsid w:val="30593884"/>
    <w:rsid w:val="308527DF"/>
    <w:rsid w:val="3088385B"/>
    <w:rsid w:val="30B9326C"/>
    <w:rsid w:val="318B0952"/>
    <w:rsid w:val="31DF7CC7"/>
    <w:rsid w:val="31FD63AA"/>
    <w:rsid w:val="3229235E"/>
    <w:rsid w:val="3229411A"/>
    <w:rsid w:val="322D471F"/>
    <w:rsid w:val="32870C13"/>
    <w:rsid w:val="32C318DF"/>
    <w:rsid w:val="33481B81"/>
    <w:rsid w:val="335509C7"/>
    <w:rsid w:val="34801387"/>
    <w:rsid w:val="35323F4D"/>
    <w:rsid w:val="35F5341F"/>
    <w:rsid w:val="364D7507"/>
    <w:rsid w:val="36853699"/>
    <w:rsid w:val="36F95D7D"/>
    <w:rsid w:val="37113F81"/>
    <w:rsid w:val="383E476D"/>
    <w:rsid w:val="38587408"/>
    <w:rsid w:val="38774D48"/>
    <w:rsid w:val="38CC5ED8"/>
    <w:rsid w:val="38E015CC"/>
    <w:rsid w:val="3902565F"/>
    <w:rsid w:val="39694146"/>
    <w:rsid w:val="3A0E518D"/>
    <w:rsid w:val="3B70590B"/>
    <w:rsid w:val="3B837370"/>
    <w:rsid w:val="3B8E0BEC"/>
    <w:rsid w:val="3C1259C9"/>
    <w:rsid w:val="3C21355B"/>
    <w:rsid w:val="3C9B0FCA"/>
    <w:rsid w:val="3D162FD9"/>
    <w:rsid w:val="3D606B02"/>
    <w:rsid w:val="3DB053D5"/>
    <w:rsid w:val="3DBB4886"/>
    <w:rsid w:val="3DEA26E4"/>
    <w:rsid w:val="3E873D85"/>
    <w:rsid w:val="3EE01EF4"/>
    <w:rsid w:val="3FC65CE4"/>
    <w:rsid w:val="3FFD4C51"/>
    <w:rsid w:val="400E253B"/>
    <w:rsid w:val="404D4025"/>
    <w:rsid w:val="40F2114B"/>
    <w:rsid w:val="4162246E"/>
    <w:rsid w:val="418569D5"/>
    <w:rsid w:val="419E0086"/>
    <w:rsid w:val="41B94BAA"/>
    <w:rsid w:val="41B94E6B"/>
    <w:rsid w:val="41BA54AD"/>
    <w:rsid w:val="41DA5F81"/>
    <w:rsid w:val="426274DE"/>
    <w:rsid w:val="438F1213"/>
    <w:rsid w:val="43EF7CB6"/>
    <w:rsid w:val="441214EF"/>
    <w:rsid w:val="44A76620"/>
    <w:rsid w:val="44C9039D"/>
    <w:rsid w:val="45A21C1C"/>
    <w:rsid w:val="45DB5816"/>
    <w:rsid w:val="463955F5"/>
    <w:rsid w:val="467F19D6"/>
    <w:rsid w:val="46F53775"/>
    <w:rsid w:val="470B471F"/>
    <w:rsid w:val="47237B65"/>
    <w:rsid w:val="475C1AA9"/>
    <w:rsid w:val="47AC6349"/>
    <w:rsid w:val="47B41DDF"/>
    <w:rsid w:val="47B9772E"/>
    <w:rsid w:val="47EA4F22"/>
    <w:rsid w:val="48316427"/>
    <w:rsid w:val="487A1FC6"/>
    <w:rsid w:val="491C4AEB"/>
    <w:rsid w:val="492B5C25"/>
    <w:rsid w:val="49395B00"/>
    <w:rsid w:val="496C68DE"/>
    <w:rsid w:val="4A257AB1"/>
    <w:rsid w:val="4A5C7F26"/>
    <w:rsid w:val="4A64761F"/>
    <w:rsid w:val="4A9F042F"/>
    <w:rsid w:val="4ABA4758"/>
    <w:rsid w:val="4AFF07C1"/>
    <w:rsid w:val="4B3372AA"/>
    <w:rsid w:val="4C2B3CBB"/>
    <w:rsid w:val="4D656886"/>
    <w:rsid w:val="4DCD728F"/>
    <w:rsid w:val="4E1229E8"/>
    <w:rsid w:val="4E8A5E70"/>
    <w:rsid w:val="4EE84F7D"/>
    <w:rsid w:val="4F261EF2"/>
    <w:rsid w:val="4F3F1FEB"/>
    <w:rsid w:val="50287C4D"/>
    <w:rsid w:val="508005C7"/>
    <w:rsid w:val="50963008"/>
    <w:rsid w:val="50D26009"/>
    <w:rsid w:val="51227529"/>
    <w:rsid w:val="512F199A"/>
    <w:rsid w:val="515E556F"/>
    <w:rsid w:val="51CE5D14"/>
    <w:rsid w:val="521774C0"/>
    <w:rsid w:val="523F7E77"/>
    <w:rsid w:val="526A022B"/>
    <w:rsid w:val="52942ED4"/>
    <w:rsid w:val="52FE679A"/>
    <w:rsid w:val="530A5C6F"/>
    <w:rsid w:val="53160CC4"/>
    <w:rsid w:val="53635160"/>
    <w:rsid w:val="53A46112"/>
    <w:rsid w:val="53F02BBD"/>
    <w:rsid w:val="54087C43"/>
    <w:rsid w:val="54151AB3"/>
    <w:rsid w:val="547C2982"/>
    <w:rsid w:val="54D12A5B"/>
    <w:rsid w:val="553A3D22"/>
    <w:rsid w:val="553D7376"/>
    <w:rsid w:val="555C7E27"/>
    <w:rsid w:val="56EA0736"/>
    <w:rsid w:val="56F72425"/>
    <w:rsid w:val="56F94133"/>
    <w:rsid w:val="570730E6"/>
    <w:rsid w:val="573D02BD"/>
    <w:rsid w:val="57546843"/>
    <w:rsid w:val="57D22477"/>
    <w:rsid w:val="581B3AC4"/>
    <w:rsid w:val="58270281"/>
    <w:rsid w:val="58836238"/>
    <w:rsid w:val="589247BF"/>
    <w:rsid w:val="58BF2BBA"/>
    <w:rsid w:val="58C3256A"/>
    <w:rsid w:val="58C656AA"/>
    <w:rsid w:val="58C80F7B"/>
    <w:rsid w:val="58E24971"/>
    <w:rsid w:val="59954FB2"/>
    <w:rsid w:val="59964EC4"/>
    <w:rsid w:val="59CA1E32"/>
    <w:rsid w:val="5A9D143D"/>
    <w:rsid w:val="5AE66300"/>
    <w:rsid w:val="5BBA585B"/>
    <w:rsid w:val="5BF472B6"/>
    <w:rsid w:val="5C9E6E6F"/>
    <w:rsid w:val="5CB8246C"/>
    <w:rsid w:val="5CC9121A"/>
    <w:rsid w:val="5CF32535"/>
    <w:rsid w:val="5D2A03F6"/>
    <w:rsid w:val="5DAE6520"/>
    <w:rsid w:val="5DB30328"/>
    <w:rsid w:val="5DCF0D9F"/>
    <w:rsid w:val="5E250CB8"/>
    <w:rsid w:val="5E370097"/>
    <w:rsid w:val="5E3D49B5"/>
    <w:rsid w:val="5E6922B4"/>
    <w:rsid w:val="5E9667BD"/>
    <w:rsid w:val="5EAB68AB"/>
    <w:rsid w:val="5EF73BE2"/>
    <w:rsid w:val="5F3D3065"/>
    <w:rsid w:val="608A1152"/>
    <w:rsid w:val="608B20EF"/>
    <w:rsid w:val="60967BC8"/>
    <w:rsid w:val="609D521D"/>
    <w:rsid w:val="60D23950"/>
    <w:rsid w:val="61382481"/>
    <w:rsid w:val="61BF196A"/>
    <w:rsid w:val="61F11689"/>
    <w:rsid w:val="61F873E4"/>
    <w:rsid w:val="62600656"/>
    <w:rsid w:val="62A44963"/>
    <w:rsid w:val="631349E3"/>
    <w:rsid w:val="631E05FA"/>
    <w:rsid w:val="63436BA2"/>
    <w:rsid w:val="634376F7"/>
    <w:rsid w:val="63D85F0D"/>
    <w:rsid w:val="65900A51"/>
    <w:rsid w:val="659C3396"/>
    <w:rsid w:val="65FC37D4"/>
    <w:rsid w:val="665935D9"/>
    <w:rsid w:val="66DA6564"/>
    <w:rsid w:val="677A24B6"/>
    <w:rsid w:val="68503E83"/>
    <w:rsid w:val="68781637"/>
    <w:rsid w:val="687A78F9"/>
    <w:rsid w:val="68CE1443"/>
    <w:rsid w:val="69124FDF"/>
    <w:rsid w:val="69901EC0"/>
    <w:rsid w:val="69CA49FB"/>
    <w:rsid w:val="6A043746"/>
    <w:rsid w:val="6A5357A1"/>
    <w:rsid w:val="6A78052C"/>
    <w:rsid w:val="6A875334"/>
    <w:rsid w:val="6A884503"/>
    <w:rsid w:val="6AC5360B"/>
    <w:rsid w:val="6ADF0274"/>
    <w:rsid w:val="6AFC6911"/>
    <w:rsid w:val="6B1B61E1"/>
    <w:rsid w:val="6B206B79"/>
    <w:rsid w:val="6BC85164"/>
    <w:rsid w:val="6BFB6BCB"/>
    <w:rsid w:val="6C115965"/>
    <w:rsid w:val="6C842205"/>
    <w:rsid w:val="6D225641"/>
    <w:rsid w:val="6DE7350C"/>
    <w:rsid w:val="6E0B664E"/>
    <w:rsid w:val="6E722F0C"/>
    <w:rsid w:val="6E8225F1"/>
    <w:rsid w:val="6F472C16"/>
    <w:rsid w:val="6F9718E7"/>
    <w:rsid w:val="6FD05487"/>
    <w:rsid w:val="70862B44"/>
    <w:rsid w:val="70C3452F"/>
    <w:rsid w:val="71356FE0"/>
    <w:rsid w:val="718805D0"/>
    <w:rsid w:val="72BD219F"/>
    <w:rsid w:val="72CC0D0F"/>
    <w:rsid w:val="731E1707"/>
    <w:rsid w:val="73C72D5A"/>
    <w:rsid w:val="73F551D4"/>
    <w:rsid w:val="743C7925"/>
    <w:rsid w:val="7449202E"/>
    <w:rsid w:val="74A72714"/>
    <w:rsid w:val="74ED7A64"/>
    <w:rsid w:val="74F22980"/>
    <w:rsid w:val="754822C9"/>
    <w:rsid w:val="7549328A"/>
    <w:rsid w:val="757E669A"/>
    <w:rsid w:val="765561D3"/>
    <w:rsid w:val="767F3925"/>
    <w:rsid w:val="76E55379"/>
    <w:rsid w:val="772050C3"/>
    <w:rsid w:val="773D4564"/>
    <w:rsid w:val="776948CD"/>
    <w:rsid w:val="77C57565"/>
    <w:rsid w:val="77F814DF"/>
    <w:rsid w:val="78746F95"/>
    <w:rsid w:val="78AB39F0"/>
    <w:rsid w:val="78B6314A"/>
    <w:rsid w:val="79181E93"/>
    <w:rsid w:val="7921275B"/>
    <w:rsid w:val="79905BFC"/>
    <w:rsid w:val="79A55C80"/>
    <w:rsid w:val="79E41632"/>
    <w:rsid w:val="7A3D329F"/>
    <w:rsid w:val="7A620D4B"/>
    <w:rsid w:val="7AA11E6E"/>
    <w:rsid w:val="7AA60219"/>
    <w:rsid w:val="7B71655A"/>
    <w:rsid w:val="7B8168E2"/>
    <w:rsid w:val="7C745F09"/>
    <w:rsid w:val="7C8D6F36"/>
    <w:rsid w:val="7CA377F5"/>
    <w:rsid w:val="7D2726CD"/>
    <w:rsid w:val="7D2F6FEA"/>
    <w:rsid w:val="7D347EF8"/>
    <w:rsid w:val="7D58077C"/>
    <w:rsid w:val="7E7D369D"/>
    <w:rsid w:val="7EBE117D"/>
    <w:rsid w:val="7EC22AF7"/>
    <w:rsid w:val="7F3A2ACC"/>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5"/>
    <w:qFormat/>
    <w:uiPriority w:val="0"/>
    <w:pPr>
      <w:keepNext/>
      <w:keepLines/>
      <w:spacing w:before="340" w:after="330" w:line="576" w:lineRule="auto"/>
      <w:outlineLvl w:val="0"/>
    </w:pPr>
    <w:rPr>
      <w:b/>
      <w:kern w:val="44"/>
      <w:sz w:val="44"/>
    </w:rPr>
  </w:style>
  <w:style w:type="paragraph" w:styleId="5">
    <w:name w:val="heading 2"/>
    <w:basedOn w:val="1"/>
    <w:next w:val="6"/>
    <w:link w:val="19"/>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6">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7">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qFormat/>
    <w:uiPriority w:val="0"/>
    <w:pPr>
      <w:spacing w:after="120" w:line="480" w:lineRule="auto"/>
    </w:p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w:basedOn w:val="2"/>
    <w:qFormat/>
    <w:uiPriority w:val="0"/>
    <w:pPr>
      <w:ind w:firstLine="420" w:firstLineChars="100"/>
    </w:p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2 字符"/>
    <w:link w:val="5"/>
    <w:qFormat/>
    <w:uiPriority w:val="9"/>
    <w:rPr>
      <w:rFonts w:ascii="Times New Roman" w:hAnsi="Times New Roman" w:eastAsia="仿宋" w:cs="Times New Roman"/>
      <w:b/>
      <w:sz w:val="32"/>
      <w:szCs w:val="32"/>
    </w:rPr>
  </w:style>
  <w:style w:type="character" w:customStyle="1" w:styleId="20">
    <w:name w:val="font21"/>
    <w:basedOn w:val="17"/>
    <w:qFormat/>
    <w:uiPriority w:val="0"/>
    <w:rPr>
      <w:rFonts w:hint="eastAsia" w:ascii="黑体" w:hAnsi="宋体" w:eastAsia="黑体" w:cs="黑体"/>
      <w:color w:val="000000"/>
      <w:sz w:val="13"/>
      <w:szCs w:val="13"/>
      <w:u w:val="none"/>
    </w:rPr>
  </w:style>
  <w:style w:type="character" w:customStyle="1" w:styleId="21">
    <w:name w:val="font11"/>
    <w:basedOn w:val="17"/>
    <w:qFormat/>
    <w:uiPriority w:val="0"/>
    <w:rPr>
      <w:rFonts w:hint="default" w:ascii="Times New Roman" w:hAnsi="Times New Roman" w:cs="Times New Roman"/>
      <w:color w:val="000000"/>
      <w:sz w:val="13"/>
      <w:szCs w:val="13"/>
      <w:u w:val="none"/>
    </w:rPr>
  </w:style>
  <w:style w:type="character" w:customStyle="1" w:styleId="22">
    <w:name w:val="font51"/>
    <w:basedOn w:val="17"/>
    <w:qFormat/>
    <w:uiPriority w:val="0"/>
    <w:rPr>
      <w:rFonts w:hint="eastAsia" w:ascii="黑体" w:hAnsi="宋体" w:eastAsia="黑体" w:cs="黑体"/>
      <w:color w:val="000000"/>
      <w:sz w:val="13"/>
      <w:szCs w:val="13"/>
      <w:u w:val="none"/>
      <w:vertAlign w:val="superscript"/>
    </w:rPr>
  </w:style>
  <w:style w:type="character" w:customStyle="1" w:styleId="23">
    <w:name w:val="font41"/>
    <w:basedOn w:val="17"/>
    <w:qFormat/>
    <w:uiPriority w:val="0"/>
    <w:rPr>
      <w:rFonts w:hint="eastAsia" w:ascii="宋体" w:hAnsi="宋体" w:eastAsia="宋体" w:cs="宋体"/>
      <w:color w:val="000000"/>
      <w:sz w:val="22"/>
      <w:szCs w:val="22"/>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7">
    <w:name w:val="font7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3223</Words>
  <Characters>3361</Characters>
  <Lines>44</Lines>
  <Paragraphs>12</Paragraphs>
  <TotalTime>7</TotalTime>
  <ScaleCrop>false</ScaleCrop>
  <LinksUpToDate>false</LinksUpToDate>
  <CharactersWithSpaces>3446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2022-05-10T00:48:51Z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4B3C4B1663154315AE62B466B1CA8016</vt:lpwstr>
  </property>
</Properties>
</file>